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7BF8EE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leftChars="0" w:right="0" w:firstLine="0" w:firstLineChars="0"/>
        <w:jc w:val="center"/>
        <w:rPr>
          <w:sz w:val="28"/>
          <w:szCs w:val="28"/>
        </w:rPr>
      </w:pPr>
      <w:r>
        <w:rPr>
          <w:rFonts w:hint="eastAsia"/>
          <w:b/>
          <w:bCs/>
          <w:sz w:val="32"/>
          <w:szCs w:val="32"/>
          <w:lang w:eastAsia="zh-CN"/>
        </w:rPr>
        <w:t>202</w:t>
      </w:r>
      <w:r>
        <w:rPr>
          <w:rFonts w:hint="eastAsia"/>
          <w:b/>
          <w:bCs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宋体"/>
          <w:b/>
          <w:bCs/>
          <w:sz w:val="32"/>
          <w:szCs w:val="32"/>
        </w:rPr>
        <w:t>年度科尔摩根</w:t>
      </w:r>
      <w:r>
        <w:rPr>
          <w:rFonts w:ascii="Times New Roman" w:hAnsi="Times New Roman" w:eastAsia="宋体"/>
          <w:b/>
          <w:bCs/>
          <w:sz w:val="32"/>
          <w:szCs w:val="32"/>
        </w:rPr>
        <w:t>软件授权及</w:t>
      </w:r>
      <w:r>
        <w:rPr>
          <w:rFonts w:hint="eastAsia" w:ascii="Times New Roman" w:hAnsi="Times New Roman" w:eastAsia="宋体"/>
          <w:b/>
          <w:bCs/>
          <w:sz w:val="32"/>
          <w:szCs w:val="32"/>
        </w:rPr>
        <w:t>服务</w:t>
      </w:r>
      <w:r>
        <w:rPr>
          <w:rFonts w:ascii="Times New Roman" w:hAnsi="Times New Roman" w:eastAsia="宋体"/>
          <w:b/>
          <w:bCs/>
          <w:sz w:val="32"/>
          <w:szCs w:val="32"/>
        </w:rPr>
        <w:t>的唯一来源采购公告</w:t>
      </w:r>
    </w:p>
    <w:p w14:paraId="7CD5490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DCDCDC" w:sz="4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14"/>
          <w:szCs w:val="14"/>
          <w:u w:val="none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14"/>
          <w:szCs w:val="14"/>
          <w:u w:val="none"/>
          <w:shd w:val="clear" w:fill="FFFFFF"/>
          <w:lang w:val="en-US" w:eastAsia="zh-CN" w:bidi="ar"/>
        </w:rPr>
        <w:instrText xml:space="preserve"> HYPERLINK "https://www.helichina.com/xxgk/qtsx/202305/t20230531_6888995.html"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14"/>
          <w:szCs w:val="14"/>
          <w:u w:val="none"/>
          <w:shd w:val="clear" w:fill="FFFFFF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14"/>
          <w:szCs w:val="14"/>
          <w:u w:val="none"/>
          <w:shd w:val="clear" w:fill="FFFFFF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14"/>
          <w:szCs w:val="14"/>
          <w:u w:val="none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14"/>
          <w:szCs w:val="14"/>
          <w:u w:val="none"/>
          <w:shd w:val="clear" w:fill="FFFFFF"/>
          <w:lang w:val="en-US" w:eastAsia="zh-CN" w:bidi="ar"/>
        </w:rPr>
        <w:instrText xml:space="preserve"> HYPERLINK "https://www.helichina.com/xxgk/qtsx/202305/t20230531_6888995.html" \o "分享到微信"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14"/>
          <w:szCs w:val="14"/>
          <w:u w:val="none"/>
          <w:shd w:val="clear" w:fill="FFFFFF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14"/>
          <w:szCs w:val="14"/>
          <w:u w:val="none"/>
          <w:shd w:val="clear" w:fill="FFFFFF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14"/>
          <w:szCs w:val="14"/>
          <w:u w:val="none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14"/>
          <w:szCs w:val="14"/>
          <w:u w:val="none"/>
          <w:shd w:val="clear" w:fill="FFFFFF"/>
          <w:lang w:val="en-US" w:eastAsia="zh-CN" w:bidi="ar"/>
        </w:rPr>
        <w:instrText xml:space="preserve"> HYPERLINK "https://www.helichina.com/xxgk/qtsx/202305/t20230531_6888995.html" \o "分享到新浪微博"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14"/>
          <w:szCs w:val="14"/>
          <w:u w:val="none"/>
          <w:shd w:val="clear" w:fill="FFFFFF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14"/>
          <w:szCs w:val="14"/>
          <w:u w:val="none"/>
          <w:shd w:val="clear" w:fill="FFFFFF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14"/>
          <w:szCs w:val="14"/>
          <w:u w:val="none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14"/>
          <w:szCs w:val="14"/>
          <w:u w:val="none"/>
          <w:shd w:val="clear" w:fill="FFFFFF"/>
          <w:lang w:val="en-US" w:eastAsia="zh-CN" w:bidi="ar"/>
        </w:rPr>
        <w:instrText xml:space="preserve"> HYPERLINK "https://www.helichina.com/xxgk/qtsx/202305/t20230531_6888995.html" \o "分享到QQ空间"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14"/>
          <w:szCs w:val="14"/>
          <w:u w:val="none"/>
          <w:shd w:val="clear" w:fill="FFFFFF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14"/>
          <w:szCs w:val="14"/>
          <w:u w:val="none"/>
          <w:shd w:val="clear" w:fill="FFFFFF"/>
          <w:lang w:val="en-US" w:eastAsia="zh-CN" w:bidi="ar"/>
        </w:rPr>
        <w:fldChar w:fldCharType="end"/>
      </w:r>
    </w:p>
    <w:p w14:paraId="7A2BA463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 w:firstLine="0"/>
        <w:jc w:val="left"/>
      </w:pP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　　一、项目信息</w:t>
      </w:r>
    </w:p>
    <w:p w14:paraId="2D1C2634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 w:firstLine="0"/>
        <w:jc w:val="left"/>
      </w:pP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　　采购人：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安徽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合力宇锋智能科技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有限公司</w:t>
      </w:r>
    </w:p>
    <w:p w14:paraId="54CA76D0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 w:firstLine="0"/>
        <w:jc w:val="left"/>
      </w:pP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　　项目名称：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202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年度科尔摩根软件授权及服务采购项目</w:t>
      </w:r>
    </w:p>
    <w:p w14:paraId="36A79C0A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</w:pP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　　拟采购项目的说明：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2"/>
          <w:sz w:val="21"/>
          <w:szCs w:val="21"/>
          <w:shd w:val="clear" w:fill="FFFFFF"/>
          <w:lang w:val="en-US" w:eastAsia="zh-CN" w:bidi="ar"/>
        </w:rPr>
        <w:t>对公司AGV配科尔摩根NDC系统产品所需的T202授权服务包进行购买。</w:t>
      </w:r>
      <w:bookmarkStart w:id="0" w:name="_GoBack"/>
      <w:bookmarkEnd w:id="0"/>
    </w:p>
    <w:p w14:paraId="184946BD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 w:firstLine="0"/>
        <w:jc w:val="left"/>
      </w:pP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　　采用唯一来源采购方式的原因及说明：</w:t>
      </w:r>
    </w:p>
    <w:p w14:paraId="0B2FC34A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 w:firstLine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　　1.根据公司《采购管理条例》、《非生产物资采购管理办法》相关规定，针对公司AGV配NDC系统车型所需的NDC系统、研发软件和服务，只有科尔摩根公司及其同集团中国销售公司埃恩斯工业技术（天津）有限公司可以提供，上述企业属于唯一供应商。因此，本次采购需要按照唯一来源采购流程进行。</w:t>
      </w:r>
    </w:p>
    <w:p w14:paraId="4CEB198A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 w:firstLine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　　2.公司AGV配科尔摩根NDC系统产品需要使用相关研发软件和技术服务，与科尔摩根公司（埃恩斯工业技术（天津）有限公司）延续合作有助于确保公司AGV配NDC系统产品研发工作的延续性。</w:t>
      </w:r>
    </w:p>
    <w:p w14:paraId="4DD1B1E9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 w:firstLine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　　3.AGV产品开发专业性强，科尔摩根公司拥有从事AGV技术服务的专业团队，具有提供优质专业服务的能力。</w:t>
      </w:r>
    </w:p>
    <w:p w14:paraId="2D0A0C61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 w:firstLine="0"/>
        <w:jc w:val="left"/>
      </w:pP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　　二、拟定供应商信息</w:t>
      </w:r>
    </w:p>
    <w:p w14:paraId="7F574C0D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 w:firstLine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　　名称：埃恩斯工业技术（天津）有限公司（由瑞典科尔摩根公司母公司奥创集团在中国设置的全资子公司，负责科尔摩根公司AGV软硬件产品的销售、服务工作）</w:t>
      </w:r>
    </w:p>
    <w:p w14:paraId="3AE5E7BE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 w:firstLine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　　地址：天津市西青经济技术开发区赛达国际工业城D9-1，D9-2座</w:t>
      </w:r>
    </w:p>
    <w:p w14:paraId="09D3C8BD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 w:firstLine="0"/>
        <w:jc w:val="left"/>
      </w:pP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　　三、公示期限</w:t>
      </w:r>
    </w:p>
    <w:p w14:paraId="38C2ACE5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 w:firstLine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　　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202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21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日至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202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26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日</w:t>
      </w:r>
    </w:p>
    <w:p w14:paraId="1EFF2FEB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 w:firstLine="0"/>
        <w:jc w:val="left"/>
      </w:pP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　　四、其他补充事宜</w:t>
      </w:r>
    </w:p>
    <w:p w14:paraId="7F535553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 w:firstLine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　　无。</w:t>
      </w:r>
    </w:p>
    <w:p w14:paraId="135BC8A6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 w:firstLine="0"/>
        <w:jc w:val="left"/>
      </w:pP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　　五、联系方式</w:t>
      </w:r>
    </w:p>
    <w:p w14:paraId="259C7A11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 w:firstLine="0"/>
        <w:jc w:val="left"/>
      </w:pP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　　联系人：</w:t>
      </w:r>
      <w:r>
        <w:rPr>
          <w:rStyle w:val="11"/>
          <w:rFonts w:hint="eastAsia" w:ascii="微软雅黑" w:hAnsi="微软雅黑" w:eastAsia="微软雅黑" w:cs="微软雅黑"/>
          <w:b w:val="0"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赵工</w:t>
      </w:r>
    </w:p>
    <w:p w14:paraId="4FE5B3DA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　　联系地址：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安徽省合肥市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肥西县花岗镇产城融合示范区</w:t>
      </w:r>
    </w:p>
    <w:p w14:paraId="619FB9F5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 w:firstLine="0"/>
        <w:jc w:val="left"/>
        <w:rPr>
          <w:rFonts w:hint="default" w:eastAsia="微软雅黑"/>
          <w:lang w:val="en-US" w:eastAsia="zh-CN"/>
        </w:rPr>
      </w:pP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　　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18255618622</w:t>
      </w:r>
    </w:p>
    <w:p w14:paraId="53384D7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